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84E" w:rsidRDefault="008B384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3.05pt;margin-top:-17.8pt;width:279pt;height:62.85pt;z-index:251658240;visibility:visible">
            <v:imagedata r:id="rId4" o:title=""/>
          </v:shape>
        </w:pict>
      </w:r>
      <w:r>
        <w:rPr>
          <w:noProof/>
        </w:rPr>
        <w:pict>
          <v:shape id="_x0000_s1027" type="#_x0000_t75" alt="iu13 LogoLg192_5405c.eps" style="position:absolute;margin-left:-22.95pt;margin-top:-35.8pt;width:139.65pt;height:81.3pt;z-index:251659264;visibility:visible">
            <v:imagedata r:id="rId5" o:title=""/>
          </v:shape>
        </w:pict>
      </w:r>
    </w:p>
    <w:p w:rsidR="008B384E" w:rsidRDefault="008B384E"/>
    <w:p w:rsidR="008B384E" w:rsidRDefault="008B384E"/>
    <w:p w:rsidR="008B384E" w:rsidRDefault="008B384E"/>
    <w:p w:rsidR="008B384E" w:rsidRDefault="008B384E" w:rsidP="003B7832">
      <w:pPr>
        <w:jc w:val="center"/>
        <w:rPr>
          <w:rFonts w:ascii="Calibri" w:hAnsi="Calibri"/>
          <w:sz w:val="36"/>
        </w:rPr>
      </w:pPr>
    </w:p>
    <w:p w:rsidR="008B384E" w:rsidRDefault="008B384E" w:rsidP="003B7832">
      <w:pPr>
        <w:jc w:val="center"/>
        <w:rPr>
          <w:rFonts w:ascii="Calibri" w:hAnsi="Calibri"/>
          <w:sz w:val="36"/>
        </w:rPr>
      </w:pPr>
      <w:r w:rsidRPr="003B7832">
        <w:rPr>
          <w:rFonts w:ascii="Calibri" w:hAnsi="Calibri"/>
          <w:sz w:val="36"/>
        </w:rPr>
        <w:t>Powerful Learning Practice Continues at IU 13</w:t>
      </w:r>
    </w:p>
    <w:p w:rsidR="008B384E" w:rsidRDefault="008B384E" w:rsidP="003B7832">
      <w:pPr>
        <w:jc w:val="center"/>
        <w:rPr>
          <w:rFonts w:ascii="Calibri" w:hAnsi="Calibri"/>
          <w:sz w:val="36"/>
        </w:rPr>
      </w:pPr>
    </w:p>
    <w:p w:rsidR="008B384E" w:rsidRDefault="008B384E" w:rsidP="003B7832">
      <w:pPr>
        <w:jc w:val="center"/>
        <w:rPr>
          <w:rFonts w:ascii="Calibri" w:hAnsi="Calibri"/>
          <w:sz w:val="36"/>
        </w:rPr>
      </w:pPr>
    </w:p>
    <w:tbl>
      <w:tblPr>
        <w:tblW w:w="0" w:type="auto"/>
        <w:tblLayout w:type="fixed"/>
        <w:tblLook w:val="00BF"/>
      </w:tblPr>
      <w:tblGrid>
        <w:gridCol w:w="1908"/>
        <w:gridCol w:w="6948"/>
      </w:tblGrid>
      <w:tr w:rsidR="008B384E" w:rsidRPr="000514A8" w:rsidTr="000514A8">
        <w:tc>
          <w:tcPr>
            <w:tcW w:w="1908" w:type="dxa"/>
          </w:tcPr>
          <w:p w:rsidR="008B384E" w:rsidRPr="000514A8" w:rsidRDefault="008B384E" w:rsidP="00177954">
            <w:pPr>
              <w:rPr>
                <w:rFonts w:ascii="Calibri" w:hAnsi="Calibri"/>
                <w:sz w:val="36"/>
              </w:rPr>
            </w:pPr>
            <w:r w:rsidRPr="000514A8">
              <w:rPr>
                <w:rFonts w:ascii="Arial" w:hAnsi="Arial" w:cs="Arial"/>
                <w:b/>
              </w:rPr>
              <w:t>Who:</w:t>
            </w:r>
          </w:p>
        </w:tc>
        <w:tc>
          <w:tcPr>
            <w:tcW w:w="6948" w:type="dxa"/>
          </w:tcPr>
          <w:p w:rsidR="008B384E" w:rsidRPr="000514A8" w:rsidRDefault="008B384E" w:rsidP="000514A8">
            <w:pPr>
              <w:ind w:left="2880" w:hanging="2808"/>
              <w:rPr>
                <w:rFonts w:ascii="Arial" w:hAnsi="Arial" w:cs="Arial"/>
              </w:rPr>
            </w:pPr>
            <w:r w:rsidRPr="000514A8">
              <w:rPr>
                <w:rFonts w:ascii="Arial" w:hAnsi="Arial" w:cs="Arial"/>
              </w:rPr>
              <w:t>Powerful Learning Practice (PLP) is a job embedded</w:t>
            </w:r>
          </w:p>
          <w:p w:rsidR="008B384E" w:rsidRPr="000514A8" w:rsidRDefault="008B384E" w:rsidP="000514A8">
            <w:pPr>
              <w:ind w:left="2880" w:hanging="2808"/>
              <w:rPr>
                <w:rFonts w:ascii="Arial" w:hAnsi="Arial" w:cs="Arial"/>
              </w:rPr>
            </w:pPr>
            <w:r w:rsidRPr="000514A8">
              <w:rPr>
                <w:rFonts w:ascii="Arial" w:hAnsi="Arial" w:cs="Arial"/>
              </w:rPr>
              <w:t>professional development model developed and led by</w:t>
            </w:r>
          </w:p>
          <w:p w:rsidR="008B384E" w:rsidRPr="000514A8" w:rsidRDefault="008B384E" w:rsidP="000514A8">
            <w:pPr>
              <w:ind w:left="2880" w:hanging="2808"/>
              <w:rPr>
                <w:rFonts w:ascii="Arial" w:hAnsi="Arial" w:cs="Arial"/>
              </w:rPr>
            </w:pPr>
            <w:r w:rsidRPr="000514A8">
              <w:rPr>
                <w:rFonts w:ascii="Arial" w:hAnsi="Arial" w:cs="Arial"/>
                <w:b/>
              </w:rPr>
              <w:t>Sheryl Nussbaum-Beach</w:t>
            </w:r>
            <w:r w:rsidRPr="000514A8">
              <w:rPr>
                <w:rFonts w:ascii="Arial" w:hAnsi="Arial" w:cs="Arial"/>
              </w:rPr>
              <w:t xml:space="preserve"> and </w:t>
            </w:r>
            <w:r w:rsidRPr="000514A8">
              <w:rPr>
                <w:rFonts w:ascii="Arial" w:hAnsi="Arial" w:cs="Arial"/>
                <w:b/>
              </w:rPr>
              <w:t>Will Richardson</w:t>
            </w:r>
            <w:r w:rsidRPr="000514A8">
              <w:rPr>
                <w:rFonts w:ascii="Arial" w:hAnsi="Arial" w:cs="Arial"/>
              </w:rPr>
              <w:t>.</w:t>
            </w:r>
          </w:p>
          <w:p w:rsidR="008B384E" w:rsidRPr="000514A8" w:rsidRDefault="008B384E" w:rsidP="005F1AF6">
            <w:pPr>
              <w:rPr>
                <w:rFonts w:ascii="Calibri" w:hAnsi="Calibri"/>
                <w:sz w:val="36"/>
              </w:rPr>
            </w:pPr>
          </w:p>
          <w:p w:rsidR="008B384E" w:rsidRPr="000514A8" w:rsidRDefault="008B384E" w:rsidP="005F1AF6">
            <w:pPr>
              <w:rPr>
                <w:rFonts w:ascii="Calibri" w:hAnsi="Calibri"/>
                <w:sz w:val="36"/>
              </w:rPr>
            </w:pPr>
          </w:p>
        </w:tc>
      </w:tr>
      <w:tr w:rsidR="008B384E" w:rsidRPr="000514A8" w:rsidTr="000514A8">
        <w:tc>
          <w:tcPr>
            <w:tcW w:w="1908" w:type="dxa"/>
          </w:tcPr>
          <w:p w:rsidR="008B384E" w:rsidRPr="000514A8" w:rsidRDefault="008B384E" w:rsidP="00177954">
            <w:pPr>
              <w:rPr>
                <w:rFonts w:ascii="Calibri" w:hAnsi="Calibri"/>
                <w:sz w:val="36"/>
              </w:rPr>
            </w:pPr>
            <w:r w:rsidRPr="000514A8">
              <w:rPr>
                <w:rFonts w:ascii="Arial" w:hAnsi="Arial" w:cs="Arial"/>
                <w:b/>
              </w:rPr>
              <w:t>What:</w:t>
            </w:r>
          </w:p>
        </w:tc>
        <w:tc>
          <w:tcPr>
            <w:tcW w:w="6948" w:type="dxa"/>
          </w:tcPr>
          <w:p w:rsidR="008B384E" w:rsidRPr="000514A8" w:rsidRDefault="008B384E" w:rsidP="000514A8">
            <w:pPr>
              <w:ind w:left="72" w:hanging="18"/>
              <w:rPr>
                <w:rFonts w:ascii="Arial" w:hAnsi="Arial" w:cs="Arial"/>
              </w:rPr>
            </w:pPr>
            <w:r w:rsidRPr="000514A8">
              <w:rPr>
                <w:rFonts w:ascii="Arial" w:hAnsi="Arial" w:cs="Arial"/>
              </w:rPr>
              <w:t xml:space="preserve">The PLP comprehensive model at IU 13 is a long-term (8-10 months) blend of face-to-face and job-embedded online learning. A learning cohort of approximately 110 educators will be built by combining 5-member teams from up to 22 different schools or districts, within Pennsylvania. The year of learning includes two, full-day face-to-face workshops, five two-hour webinars, and ongoing learning and support in an online culture of inquiry that is supported by a scaffolding of leadership. </w:t>
            </w:r>
          </w:p>
          <w:p w:rsidR="008B384E" w:rsidRPr="000514A8" w:rsidRDefault="008B384E" w:rsidP="000514A8">
            <w:pPr>
              <w:ind w:left="72" w:hanging="18"/>
              <w:rPr>
                <w:rFonts w:ascii="Arial" w:hAnsi="Arial" w:cs="Arial"/>
              </w:rPr>
            </w:pPr>
          </w:p>
          <w:p w:rsidR="008B384E" w:rsidRPr="000514A8" w:rsidRDefault="008B384E" w:rsidP="000514A8">
            <w:pPr>
              <w:ind w:left="72" w:hanging="18"/>
              <w:jc w:val="center"/>
              <w:rPr>
                <w:rFonts w:ascii="Arial" w:hAnsi="Arial" w:cs="Arial"/>
              </w:rPr>
            </w:pPr>
          </w:p>
        </w:tc>
      </w:tr>
      <w:tr w:rsidR="008B384E" w:rsidRPr="000514A8" w:rsidTr="000514A8">
        <w:tc>
          <w:tcPr>
            <w:tcW w:w="1908" w:type="dxa"/>
          </w:tcPr>
          <w:p w:rsidR="008B384E" w:rsidRPr="000514A8" w:rsidRDefault="008B384E" w:rsidP="00177954">
            <w:pPr>
              <w:rPr>
                <w:rFonts w:ascii="Calibri" w:hAnsi="Calibri"/>
                <w:sz w:val="36"/>
              </w:rPr>
            </w:pPr>
            <w:r w:rsidRPr="000514A8">
              <w:rPr>
                <w:rFonts w:ascii="Arial" w:hAnsi="Arial" w:cs="Arial"/>
                <w:b/>
              </w:rPr>
              <w:t>When:</w:t>
            </w:r>
          </w:p>
        </w:tc>
        <w:tc>
          <w:tcPr>
            <w:tcW w:w="6948" w:type="dxa"/>
          </w:tcPr>
          <w:p w:rsidR="008B384E" w:rsidRPr="000514A8" w:rsidRDefault="008B384E" w:rsidP="000514A8">
            <w:pPr>
              <w:ind w:left="72" w:hanging="18"/>
              <w:rPr>
                <w:rFonts w:ascii="Arial" w:hAnsi="Arial" w:cs="Arial"/>
              </w:rPr>
            </w:pPr>
            <w:r w:rsidRPr="000514A8">
              <w:rPr>
                <w:rFonts w:ascii="Arial" w:hAnsi="Arial" w:cs="Arial"/>
              </w:rPr>
              <w:t>2011-2012 school year</w:t>
            </w:r>
          </w:p>
          <w:p w:rsidR="008B384E" w:rsidRPr="000514A8" w:rsidRDefault="008B384E" w:rsidP="003759A4">
            <w:pPr>
              <w:rPr>
                <w:rFonts w:ascii="Arial" w:hAnsi="Arial" w:cs="Arial"/>
              </w:rPr>
            </w:pPr>
          </w:p>
          <w:p w:rsidR="008B384E" w:rsidRPr="000514A8" w:rsidRDefault="008B384E" w:rsidP="003759A4">
            <w:pPr>
              <w:rPr>
                <w:rFonts w:ascii="Arial" w:hAnsi="Arial" w:cs="Arial"/>
              </w:rPr>
            </w:pPr>
          </w:p>
        </w:tc>
      </w:tr>
      <w:tr w:rsidR="008B384E" w:rsidRPr="000514A8" w:rsidTr="000514A8">
        <w:tc>
          <w:tcPr>
            <w:tcW w:w="1908" w:type="dxa"/>
          </w:tcPr>
          <w:p w:rsidR="008B384E" w:rsidRPr="000514A8" w:rsidRDefault="008B384E" w:rsidP="00177954">
            <w:pPr>
              <w:rPr>
                <w:rFonts w:ascii="Calibri" w:hAnsi="Calibri"/>
                <w:sz w:val="36"/>
              </w:rPr>
            </w:pPr>
            <w:r w:rsidRPr="000514A8">
              <w:rPr>
                <w:rFonts w:ascii="Arial" w:hAnsi="Arial" w:cs="Arial"/>
                <w:b/>
              </w:rPr>
              <w:t>Year 1 Participants:</w:t>
            </w:r>
          </w:p>
        </w:tc>
        <w:tc>
          <w:tcPr>
            <w:tcW w:w="6948" w:type="dxa"/>
          </w:tcPr>
          <w:p w:rsidR="008B384E" w:rsidRPr="000514A8" w:rsidRDefault="008B384E" w:rsidP="000514A8">
            <w:pPr>
              <w:ind w:left="72" w:hanging="18"/>
              <w:rPr>
                <w:rFonts w:ascii="Arial" w:hAnsi="Arial" w:cs="Arial"/>
              </w:rPr>
            </w:pPr>
            <w:r w:rsidRPr="000514A8">
              <w:rPr>
                <w:rFonts w:ascii="Arial" w:hAnsi="Arial" w:cs="Arial"/>
              </w:rPr>
              <w:t>One team of 4-5 members from each district representing an elementary or secondary level. Teams should include administration and teacher representation. Year 1 focuses on understanding the global changes created by online social technologies and their implications for teaching and learning. Deep thinking about professional and personal learning practice and work on understanding practical and pedagogical implications for classroom is promoted. Teams will conduct action research that is aligned to school improvement goals while initiating district-wide conversations and planning around long-term change and the scaling of these ideas and technologies.</w:t>
            </w:r>
          </w:p>
          <w:p w:rsidR="008B384E" w:rsidRPr="000514A8" w:rsidRDefault="008B384E" w:rsidP="000514A8">
            <w:pPr>
              <w:ind w:left="72" w:hanging="18"/>
              <w:rPr>
                <w:rFonts w:ascii="Arial" w:hAnsi="Arial" w:cs="Arial"/>
              </w:rPr>
            </w:pPr>
          </w:p>
          <w:p w:rsidR="008B384E" w:rsidRPr="000514A8" w:rsidRDefault="008B384E" w:rsidP="000514A8">
            <w:pPr>
              <w:ind w:left="72" w:hanging="18"/>
              <w:rPr>
                <w:rFonts w:ascii="Arial" w:hAnsi="Arial" w:cs="Arial"/>
              </w:rPr>
            </w:pPr>
          </w:p>
          <w:p w:rsidR="008B384E" w:rsidRPr="000514A8" w:rsidRDefault="008B384E" w:rsidP="000514A8">
            <w:pPr>
              <w:ind w:left="72" w:hanging="18"/>
              <w:rPr>
                <w:rFonts w:ascii="Arial" w:hAnsi="Arial" w:cs="Arial"/>
              </w:rPr>
            </w:pPr>
          </w:p>
          <w:p w:rsidR="008B384E" w:rsidRPr="000514A8" w:rsidRDefault="008B384E" w:rsidP="000514A8">
            <w:pPr>
              <w:ind w:left="72" w:hanging="18"/>
              <w:rPr>
                <w:rFonts w:ascii="Arial" w:hAnsi="Arial" w:cs="Arial"/>
              </w:rPr>
            </w:pPr>
          </w:p>
          <w:p w:rsidR="008B384E" w:rsidRPr="000514A8" w:rsidRDefault="008B384E" w:rsidP="000514A8">
            <w:pPr>
              <w:ind w:left="72" w:hanging="18"/>
              <w:rPr>
                <w:rFonts w:ascii="Arial" w:hAnsi="Arial" w:cs="Arial"/>
              </w:rPr>
            </w:pPr>
          </w:p>
        </w:tc>
      </w:tr>
      <w:tr w:rsidR="008B384E" w:rsidRPr="000514A8" w:rsidTr="000514A8">
        <w:tc>
          <w:tcPr>
            <w:tcW w:w="1908" w:type="dxa"/>
          </w:tcPr>
          <w:p w:rsidR="008B384E" w:rsidRPr="000514A8" w:rsidRDefault="008B384E" w:rsidP="00177954">
            <w:pPr>
              <w:rPr>
                <w:rFonts w:ascii="Calibri" w:hAnsi="Calibri"/>
                <w:sz w:val="36"/>
              </w:rPr>
            </w:pPr>
            <w:r w:rsidRPr="000514A8">
              <w:rPr>
                <w:rFonts w:ascii="Arial" w:hAnsi="Arial" w:cs="Arial"/>
                <w:b/>
              </w:rPr>
              <w:t>Year 2 Participants:</w:t>
            </w:r>
          </w:p>
        </w:tc>
        <w:tc>
          <w:tcPr>
            <w:tcW w:w="6948" w:type="dxa"/>
          </w:tcPr>
          <w:p w:rsidR="008B384E" w:rsidRPr="000514A8" w:rsidRDefault="008B384E" w:rsidP="000514A8">
            <w:pPr>
              <w:ind w:left="72" w:hanging="18"/>
              <w:rPr>
                <w:rFonts w:ascii="Arial" w:hAnsi="Arial" w:cs="Arial"/>
              </w:rPr>
            </w:pPr>
            <w:r w:rsidRPr="000514A8">
              <w:rPr>
                <w:rFonts w:ascii="Arial" w:hAnsi="Arial" w:cs="Arial"/>
              </w:rPr>
              <w:t>Members of the 2010-11 cohort will have the opportunity to continue their experience by joining a second year cohort with teams of 2-3 people. Year 2 focuses on project, problem, and passion-based learning. You are taught how to use inquiry-based learning through the lens of social technologies. You’ll have provocative conversations and explore collaborative solutions to assessment. You will work on re-envisioning classrooms and curriculum through hands-on, online, student/teacher collaboration. These teams will develop a cross-curricular project aligned with state standards and embedded with 21st Century skills and literacies. You will look closely at how to scale learning while involving students in the PLP process.</w:t>
            </w:r>
          </w:p>
          <w:p w:rsidR="008B384E" w:rsidRPr="000514A8" w:rsidRDefault="008B384E" w:rsidP="000514A8">
            <w:pPr>
              <w:ind w:left="72" w:hanging="18"/>
              <w:rPr>
                <w:rFonts w:ascii="Arial" w:hAnsi="Arial" w:cs="Arial"/>
              </w:rPr>
            </w:pPr>
          </w:p>
          <w:p w:rsidR="008B384E" w:rsidRPr="000514A8" w:rsidRDefault="008B384E" w:rsidP="000514A8">
            <w:pPr>
              <w:ind w:left="72" w:hanging="18"/>
              <w:jc w:val="center"/>
              <w:rPr>
                <w:rFonts w:ascii="Arial" w:hAnsi="Arial" w:cs="Arial"/>
              </w:rPr>
            </w:pPr>
          </w:p>
        </w:tc>
      </w:tr>
      <w:tr w:rsidR="008B384E" w:rsidRPr="000514A8" w:rsidTr="000514A8">
        <w:tc>
          <w:tcPr>
            <w:tcW w:w="1908" w:type="dxa"/>
          </w:tcPr>
          <w:p w:rsidR="008B384E" w:rsidRPr="000514A8" w:rsidRDefault="008B384E" w:rsidP="00177954">
            <w:pPr>
              <w:rPr>
                <w:rFonts w:ascii="Calibri" w:hAnsi="Calibri"/>
                <w:sz w:val="36"/>
              </w:rPr>
            </w:pPr>
            <w:r w:rsidRPr="000514A8">
              <w:rPr>
                <w:rFonts w:ascii="Arial" w:hAnsi="Arial" w:cs="Arial"/>
                <w:b/>
              </w:rPr>
              <w:t>Cost:</w:t>
            </w:r>
          </w:p>
        </w:tc>
        <w:tc>
          <w:tcPr>
            <w:tcW w:w="6948" w:type="dxa"/>
          </w:tcPr>
          <w:p w:rsidR="008B384E" w:rsidRPr="000514A8" w:rsidRDefault="008B384E" w:rsidP="000514A8">
            <w:pPr>
              <w:ind w:left="72" w:hanging="18"/>
              <w:rPr>
                <w:rFonts w:ascii="Arial" w:hAnsi="Arial" w:cs="Arial"/>
              </w:rPr>
            </w:pPr>
            <w:r w:rsidRPr="000514A8">
              <w:rPr>
                <w:rFonts w:ascii="Arial" w:hAnsi="Arial" w:cs="Arial"/>
              </w:rPr>
              <w:t>$75 per person for districts within the IU 13 service area, $100 for those outside of IU 13 to cover facilities and meals for participants during the face-to-face workshops. (Act 183 grant funds are being used to cover the actual program and support costs.)</w:t>
            </w:r>
          </w:p>
          <w:p w:rsidR="008B384E" w:rsidRPr="000514A8" w:rsidRDefault="008B384E" w:rsidP="000514A8">
            <w:pPr>
              <w:ind w:left="72" w:hanging="18"/>
              <w:rPr>
                <w:rFonts w:ascii="Arial" w:hAnsi="Arial" w:cs="Arial"/>
              </w:rPr>
            </w:pPr>
          </w:p>
          <w:p w:rsidR="008B384E" w:rsidRPr="000514A8" w:rsidRDefault="008B384E" w:rsidP="000514A8">
            <w:pPr>
              <w:ind w:left="72" w:hanging="18"/>
              <w:rPr>
                <w:rFonts w:ascii="Arial" w:hAnsi="Arial" w:cs="Arial"/>
              </w:rPr>
            </w:pPr>
          </w:p>
        </w:tc>
      </w:tr>
      <w:tr w:rsidR="008B384E" w:rsidRPr="000514A8" w:rsidTr="000514A8">
        <w:tc>
          <w:tcPr>
            <w:tcW w:w="1908" w:type="dxa"/>
          </w:tcPr>
          <w:p w:rsidR="008B384E" w:rsidRPr="000514A8" w:rsidRDefault="008B384E" w:rsidP="00285D07">
            <w:pPr>
              <w:rPr>
                <w:rFonts w:ascii="Calibri" w:hAnsi="Calibri"/>
                <w:sz w:val="36"/>
              </w:rPr>
            </w:pPr>
            <w:r w:rsidRPr="000514A8">
              <w:rPr>
                <w:rFonts w:ascii="Arial" w:hAnsi="Arial" w:cs="Arial"/>
                <w:b/>
              </w:rPr>
              <w:t>Schedule:</w:t>
            </w:r>
          </w:p>
        </w:tc>
        <w:tc>
          <w:tcPr>
            <w:tcW w:w="6948" w:type="dxa"/>
          </w:tcPr>
          <w:p w:rsidR="008B384E" w:rsidRPr="000514A8" w:rsidRDefault="008B384E" w:rsidP="000514A8">
            <w:pPr>
              <w:ind w:left="72" w:hanging="18"/>
              <w:rPr>
                <w:rFonts w:ascii="Arial" w:hAnsi="Arial" w:cs="Arial"/>
              </w:rPr>
            </w:pPr>
            <w:r w:rsidRPr="000514A8">
              <w:rPr>
                <w:rFonts w:ascii="Arial" w:hAnsi="Arial" w:cs="Arial"/>
              </w:rPr>
              <w:t>Face-to-Face Kickoff Session – September 16, 2011</w:t>
            </w:r>
          </w:p>
          <w:p w:rsidR="008B384E" w:rsidRPr="000514A8" w:rsidRDefault="008B384E" w:rsidP="000514A8">
            <w:pPr>
              <w:ind w:left="72" w:hanging="18"/>
              <w:rPr>
                <w:rFonts w:ascii="Arial" w:hAnsi="Arial" w:cs="Arial"/>
              </w:rPr>
            </w:pPr>
            <w:r w:rsidRPr="000514A8">
              <w:rPr>
                <w:rFonts w:ascii="Arial" w:hAnsi="Arial" w:cs="Arial"/>
              </w:rPr>
              <w:t>Face-to-Face Celebration Session – May 14, 2012</w:t>
            </w:r>
          </w:p>
          <w:p w:rsidR="008B384E" w:rsidRPr="000514A8" w:rsidRDefault="008B384E" w:rsidP="000514A8">
            <w:pPr>
              <w:ind w:left="72" w:hanging="18"/>
              <w:rPr>
                <w:rFonts w:ascii="Arial" w:hAnsi="Arial" w:cs="Arial"/>
              </w:rPr>
            </w:pPr>
            <w:r w:rsidRPr="000514A8">
              <w:rPr>
                <w:rFonts w:ascii="Arial" w:hAnsi="Arial" w:cs="Arial"/>
              </w:rPr>
              <w:t>Webinar Schedule TBD</w:t>
            </w:r>
          </w:p>
          <w:p w:rsidR="008B384E" w:rsidRPr="000514A8" w:rsidRDefault="008B384E" w:rsidP="000514A8">
            <w:pPr>
              <w:ind w:left="72" w:hanging="18"/>
              <w:rPr>
                <w:rFonts w:ascii="Arial" w:hAnsi="Arial" w:cs="Arial"/>
              </w:rPr>
            </w:pPr>
          </w:p>
          <w:p w:rsidR="008B384E" w:rsidRPr="000514A8" w:rsidRDefault="008B384E" w:rsidP="000514A8">
            <w:pPr>
              <w:ind w:left="72" w:hanging="18"/>
              <w:rPr>
                <w:rFonts w:ascii="Arial" w:hAnsi="Arial" w:cs="Arial"/>
              </w:rPr>
            </w:pPr>
          </w:p>
        </w:tc>
      </w:tr>
      <w:tr w:rsidR="008B384E" w:rsidRPr="000514A8" w:rsidTr="000514A8">
        <w:tc>
          <w:tcPr>
            <w:tcW w:w="1908" w:type="dxa"/>
          </w:tcPr>
          <w:p w:rsidR="008B384E" w:rsidRPr="000514A8" w:rsidRDefault="008B384E" w:rsidP="00285D07">
            <w:pPr>
              <w:rPr>
                <w:rFonts w:ascii="Arial" w:hAnsi="Arial" w:cs="Arial"/>
                <w:b/>
              </w:rPr>
            </w:pPr>
            <w:r w:rsidRPr="000514A8">
              <w:rPr>
                <w:rFonts w:ascii="Arial" w:hAnsi="Arial" w:cs="Arial"/>
                <w:b/>
              </w:rPr>
              <w:t>To Register:</w:t>
            </w:r>
          </w:p>
        </w:tc>
        <w:tc>
          <w:tcPr>
            <w:tcW w:w="6948" w:type="dxa"/>
          </w:tcPr>
          <w:p w:rsidR="008B384E" w:rsidRPr="000514A8" w:rsidRDefault="008B384E" w:rsidP="000514A8">
            <w:pPr>
              <w:ind w:left="72" w:hanging="18"/>
              <w:rPr>
                <w:rFonts w:ascii="Arial" w:hAnsi="Arial" w:cs="Arial"/>
              </w:rPr>
            </w:pPr>
            <w:r w:rsidRPr="000514A8">
              <w:rPr>
                <w:rFonts w:ascii="Arial" w:hAnsi="Arial" w:cs="Arial"/>
              </w:rPr>
              <w:t>Every member of the team must register.</w:t>
            </w:r>
          </w:p>
          <w:p w:rsidR="008B384E" w:rsidRPr="000514A8" w:rsidRDefault="008B384E" w:rsidP="000514A8">
            <w:pPr>
              <w:ind w:left="72" w:hanging="18"/>
              <w:rPr>
                <w:rFonts w:ascii="Arial" w:hAnsi="Arial" w:cs="Arial"/>
              </w:rPr>
            </w:pPr>
            <w:r w:rsidRPr="000514A8">
              <w:rPr>
                <w:rFonts w:ascii="Arial" w:hAnsi="Arial" w:cs="Arial"/>
              </w:rPr>
              <w:t xml:space="preserve">Go to: </w:t>
            </w:r>
          </w:p>
          <w:p w:rsidR="008B384E" w:rsidRPr="000514A8" w:rsidRDefault="008B384E" w:rsidP="000514A8">
            <w:pPr>
              <w:ind w:left="72" w:hanging="18"/>
              <w:rPr>
                <w:rFonts w:ascii="Arial" w:hAnsi="Arial" w:cs="Arial"/>
              </w:rPr>
            </w:pPr>
            <w:hyperlink r:id="rId6" w:history="1">
              <w:r w:rsidRPr="000514A8">
                <w:rPr>
                  <w:rStyle w:val="Hyperlink"/>
                  <w:rFonts w:ascii="Arial" w:hAnsi="Arial" w:cs="Arial"/>
                </w:rPr>
                <w:t>http://www.iu13.org</w:t>
              </w:r>
            </w:hyperlink>
          </w:p>
          <w:p w:rsidR="008B384E" w:rsidRPr="000514A8" w:rsidRDefault="008B384E" w:rsidP="000514A8">
            <w:pPr>
              <w:ind w:left="72" w:hanging="18"/>
              <w:rPr>
                <w:rFonts w:ascii="Arial" w:hAnsi="Arial" w:cs="Arial"/>
                <w:b/>
              </w:rPr>
            </w:pPr>
            <w:r w:rsidRPr="000514A8">
              <w:rPr>
                <w:rFonts w:ascii="Arial" w:hAnsi="Arial" w:cs="Arial"/>
              </w:rPr>
              <w:t xml:space="preserve">Click on </w:t>
            </w:r>
            <w:r w:rsidRPr="000514A8">
              <w:rPr>
                <w:rFonts w:ascii="Arial" w:hAnsi="Arial" w:cs="Arial"/>
                <w:b/>
              </w:rPr>
              <w:t>Event Registration.</w:t>
            </w:r>
          </w:p>
          <w:p w:rsidR="008B384E" w:rsidRPr="000514A8" w:rsidRDefault="008B384E" w:rsidP="000514A8">
            <w:pPr>
              <w:ind w:left="72" w:hanging="18"/>
              <w:rPr>
                <w:rFonts w:ascii="Arial" w:hAnsi="Arial" w:cs="Arial"/>
                <w:b/>
              </w:rPr>
            </w:pPr>
            <w:r w:rsidRPr="000514A8">
              <w:rPr>
                <w:rFonts w:ascii="Arial" w:hAnsi="Arial" w:cs="Arial"/>
              </w:rPr>
              <w:t xml:space="preserve">Click on </w:t>
            </w:r>
            <w:r w:rsidRPr="000514A8">
              <w:rPr>
                <w:rFonts w:ascii="Arial" w:hAnsi="Arial" w:cs="Arial"/>
                <w:b/>
              </w:rPr>
              <w:t>Register Here!</w:t>
            </w:r>
          </w:p>
          <w:p w:rsidR="008B384E" w:rsidRPr="000514A8" w:rsidRDefault="008B384E" w:rsidP="000514A8">
            <w:pPr>
              <w:ind w:left="72" w:hanging="18"/>
              <w:rPr>
                <w:rFonts w:ascii="Arial" w:hAnsi="Arial" w:cs="Arial"/>
                <w:b/>
              </w:rPr>
            </w:pPr>
            <w:r w:rsidRPr="000514A8">
              <w:rPr>
                <w:rFonts w:ascii="Arial" w:hAnsi="Arial" w:cs="Arial"/>
              </w:rPr>
              <w:t xml:space="preserve">Navigate to September and click on </w:t>
            </w:r>
            <w:r w:rsidRPr="000514A8">
              <w:rPr>
                <w:rFonts w:ascii="Arial" w:hAnsi="Arial" w:cs="Arial"/>
                <w:b/>
              </w:rPr>
              <w:t>Powerful Learning Practice Cohort-2011-12.</w:t>
            </w:r>
          </w:p>
          <w:p w:rsidR="008B384E" w:rsidRPr="000514A8" w:rsidRDefault="008B384E" w:rsidP="000514A8">
            <w:pPr>
              <w:ind w:left="72" w:hanging="18"/>
              <w:rPr>
                <w:rFonts w:ascii="Arial" w:hAnsi="Arial" w:cs="Arial"/>
              </w:rPr>
            </w:pPr>
            <w:r w:rsidRPr="000514A8">
              <w:rPr>
                <w:rFonts w:ascii="Arial" w:hAnsi="Arial" w:cs="Arial"/>
              </w:rPr>
              <w:t>Follow the required steps to register.</w:t>
            </w:r>
          </w:p>
          <w:p w:rsidR="008B384E" w:rsidRPr="000514A8" w:rsidRDefault="008B384E" w:rsidP="000514A8">
            <w:pPr>
              <w:ind w:left="72" w:hanging="18"/>
              <w:rPr>
                <w:rFonts w:ascii="Arial" w:hAnsi="Arial" w:cs="Arial"/>
              </w:rPr>
            </w:pPr>
            <w:r w:rsidRPr="000514A8">
              <w:rPr>
                <w:rFonts w:ascii="Arial" w:hAnsi="Arial" w:cs="Arial"/>
              </w:rPr>
              <w:tab/>
            </w:r>
          </w:p>
        </w:tc>
      </w:tr>
    </w:tbl>
    <w:p w:rsidR="008B384E" w:rsidRPr="005F1AF6" w:rsidRDefault="008B384E" w:rsidP="004907F7">
      <w:pPr>
        <w:ind w:left="72" w:hanging="18"/>
        <w:rPr>
          <w:rFonts w:ascii="Arial" w:hAnsi="Arial" w:cs="Arial"/>
        </w:rPr>
      </w:pPr>
      <w:r w:rsidRPr="004907F7">
        <w:rPr>
          <w:rFonts w:ascii="Arial" w:hAnsi="Arial" w:cs="Arial"/>
        </w:rPr>
        <w:tab/>
      </w:r>
      <w:r w:rsidRPr="004907F7">
        <w:rPr>
          <w:rFonts w:ascii="Arial" w:hAnsi="Arial" w:cs="Arial"/>
        </w:rPr>
        <w:tab/>
      </w:r>
    </w:p>
    <w:p w:rsidR="008B384E" w:rsidRPr="004427FD" w:rsidRDefault="008B384E" w:rsidP="001C3578">
      <w:pPr>
        <w:ind w:right="450"/>
        <w:rPr>
          <w:rFonts w:ascii="Arial" w:hAnsi="Arial" w:cs="Arial"/>
          <w:sz w:val="22"/>
          <w:szCs w:val="22"/>
        </w:rPr>
      </w:pPr>
      <w:r w:rsidRPr="00D7410D">
        <w:rPr>
          <w:rFonts w:ascii="Arial" w:hAnsi="Arial" w:cs="Arial"/>
          <w:sz w:val="22"/>
          <w:szCs w:val="22"/>
        </w:rPr>
        <w:pict>
          <v:rect id="_x0000_i1025" style="width:511.4pt;height:3.95pt" o:hrpct="955" o:hralign="center" o:hrstd="t" o:hr="t" fillcolor="#aca899" stroked="f"/>
        </w:pict>
      </w:r>
    </w:p>
    <w:p w:rsidR="008B384E" w:rsidRPr="004427FD" w:rsidRDefault="008B384E" w:rsidP="001C3578">
      <w:pPr>
        <w:tabs>
          <w:tab w:val="left" w:pos="2250"/>
        </w:tabs>
        <w:ind w:left="540" w:right="450"/>
        <w:jc w:val="center"/>
        <w:rPr>
          <w:rFonts w:ascii="Arial" w:hAnsi="Arial" w:cs="Arial"/>
          <w:sz w:val="22"/>
          <w:szCs w:val="22"/>
        </w:rPr>
      </w:pPr>
      <w:r w:rsidRPr="004427FD">
        <w:rPr>
          <w:rFonts w:ascii="Arial" w:hAnsi="Arial" w:cs="Arial"/>
          <w:sz w:val="22"/>
          <w:szCs w:val="22"/>
        </w:rPr>
        <w:t>For additional information, please contact:</w:t>
      </w:r>
    </w:p>
    <w:p w:rsidR="008B384E" w:rsidRPr="003B7832" w:rsidRDefault="008B384E" w:rsidP="001C3578">
      <w:pPr>
        <w:jc w:val="center"/>
        <w:rPr>
          <w:rFonts w:ascii="Calibri" w:hAnsi="Calibri"/>
          <w:sz w:val="36"/>
        </w:rPr>
      </w:pPr>
      <w:r>
        <w:rPr>
          <w:rFonts w:ascii="Arial" w:hAnsi="Arial"/>
          <w:sz w:val="22"/>
        </w:rPr>
        <w:t>Janet Dubble,</w:t>
      </w:r>
      <w:r w:rsidRPr="004427FD">
        <w:rPr>
          <w:rFonts w:ascii="Arial" w:hAnsi="Arial" w:cs="Arial"/>
          <w:sz w:val="22"/>
          <w:szCs w:val="22"/>
        </w:rPr>
        <w:t xml:space="preserve"> janet_dubble@iu13</w:t>
      </w:r>
      <w:r w:rsidRPr="00424236">
        <w:rPr>
          <w:rFonts w:ascii="Arial" w:hAnsi="Arial" w:cs="Arial"/>
          <w:sz w:val="22"/>
          <w:szCs w:val="22"/>
        </w:rPr>
        <w:t>.org, 717</w:t>
      </w:r>
      <w:r>
        <w:rPr>
          <w:rFonts w:ascii="Arial" w:hAnsi="Arial" w:cs="Arial"/>
          <w:sz w:val="22"/>
          <w:szCs w:val="22"/>
        </w:rPr>
        <w:t>-606-1664</w:t>
      </w:r>
    </w:p>
    <w:sectPr w:rsidR="008B384E" w:rsidRPr="003B7832" w:rsidSect="003B7832">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7832"/>
    <w:rsid w:val="000514A8"/>
    <w:rsid w:val="00077D27"/>
    <w:rsid w:val="00177954"/>
    <w:rsid w:val="00197992"/>
    <w:rsid w:val="001C3578"/>
    <w:rsid w:val="001C3836"/>
    <w:rsid w:val="00285D07"/>
    <w:rsid w:val="00316C04"/>
    <w:rsid w:val="003759A4"/>
    <w:rsid w:val="003B7832"/>
    <w:rsid w:val="003C0B2B"/>
    <w:rsid w:val="00424236"/>
    <w:rsid w:val="004427FD"/>
    <w:rsid w:val="004717DE"/>
    <w:rsid w:val="004907F7"/>
    <w:rsid w:val="004A5E2F"/>
    <w:rsid w:val="005514C9"/>
    <w:rsid w:val="005A4CC4"/>
    <w:rsid w:val="005F1AF6"/>
    <w:rsid w:val="0066136F"/>
    <w:rsid w:val="007C7994"/>
    <w:rsid w:val="008130CD"/>
    <w:rsid w:val="008313D1"/>
    <w:rsid w:val="008B384E"/>
    <w:rsid w:val="00956E45"/>
    <w:rsid w:val="009F2FD9"/>
    <w:rsid w:val="00A20137"/>
    <w:rsid w:val="00A66A36"/>
    <w:rsid w:val="00A67543"/>
    <w:rsid w:val="00A84134"/>
    <w:rsid w:val="00AB1EF5"/>
    <w:rsid w:val="00B269A1"/>
    <w:rsid w:val="00B55B54"/>
    <w:rsid w:val="00C95E30"/>
    <w:rsid w:val="00D7410D"/>
    <w:rsid w:val="00EB14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Lucida Grande" w:hAnsi="Lucida Grande"/>
      <w:sz w:val="18"/>
      <w:szCs w:val="18"/>
    </w:rPr>
  </w:style>
  <w:style w:type="character" w:customStyle="1" w:styleId="BalloonTextChar">
    <w:name w:val="Balloon Text Char"/>
    <w:basedOn w:val="DefaultParagraphFont"/>
    <w:link w:val="BalloonText"/>
    <w:uiPriority w:val="99"/>
    <w:semiHidden/>
    <w:rsid w:val="00F86DC6"/>
    <w:rPr>
      <w:rFonts w:ascii="Times New Roman" w:hAnsi="Times New Roman"/>
      <w:sz w:val="0"/>
      <w:szCs w:val="0"/>
    </w:rPr>
  </w:style>
  <w:style w:type="character" w:styleId="Hyperlink">
    <w:name w:val="Hyperlink"/>
    <w:basedOn w:val="DefaultParagraphFont"/>
    <w:uiPriority w:val="99"/>
    <w:rsid w:val="001C3578"/>
    <w:rPr>
      <w:rFonts w:cs="Times New Roman"/>
      <w:color w:val="0000FF"/>
      <w:u w:val="single"/>
    </w:rPr>
  </w:style>
  <w:style w:type="table" w:styleId="TableGrid">
    <w:name w:val="Table Grid"/>
    <w:basedOn w:val="TableNormal"/>
    <w:uiPriority w:val="99"/>
    <w:rsid w:val="005F1AF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u13.org"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442</Words>
  <Characters>2520</Characters>
  <Application>Microsoft Office Outlook</Application>
  <DocSecurity>0</DocSecurity>
  <Lines>0</Lines>
  <Paragraphs>0</Paragraphs>
  <ScaleCrop>false</ScaleCrop>
  <Company>Lancaster Lebanon IU13</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Dubble</dc:creator>
  <cp:keywords/>
  <dc:description/>
  <cp:lastModifiedBy>amjohnston</cp:lastModifiedBy>
  <cp:revision>2</cp:revision>
  <dcterms:created xsi:type="dcterms:W3CDTF">2011-05-11T16:54:00Z</dcterms:created>
  <dcterms:modified xsi:type="dcterms:W3CDTF">2011-05-11T16:54:00Z</dcterms:modified>
</cp:coreProperties>
</file>